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76"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Αυταξιολόγηση εποπτεία και ανατροφοδότηση μαθητών στη διδασκαλία με ασύγχρονη εκπαίδευση για ΕΠΑ.Λ.</w:t>
      </w:r>
    </w:p>
    <w:p w:rsidR="00000000" w:rsidDel="00000000" w:rsidP="00000000" w:rsidRDefault="00000000" w:rsidRPr="00000000" w14:paraId="00000002">
      <w:pPr>
        <w:pStyle w:val="Heading2"/>
        <w:spacing w:before="240" w:line="276" w:lineRule="auto"/>
        <w:jc w:val="center"/>
        <w:rPr>
          <w:rFonts w:ascii="Arial" w:cs="Arial" w:eastAsia="Arial" w:hAnsi="Arial"/>
          <w:u w:val="none"/>
        </w:rPr>
      </w:pPr>
      <w:r w:rsidDel="00000000" w:rsidR="00000000" w:rsidRPr="00000000">
        <w:rPr>
          <w:rFonts w:ascii="Arial" w:cs="Arial" w:eastAsia="Arial" w:hAnsi="Arial"/>
          <w:u w:val="none"/>
          <w:rtl w:val="0"/>
        </w:rPr>
        <w:t xml:space="preserve">Κωτσάκης Σταύρος </w:t>
      </w:r>
    </w:p>
    <w:p w:rsidR="00000000" w:rsidDel="00000000" w:rsidP="00000000" w:rsidRDefault="00000000" w:rsidRPr="00000000" w14:paraId="00000003">
      <w:pPr>
        <w:pStyle w:val="Heading2"/>
        <w:spacing w:after="200" w:before="240" w:line="276" w:lineRule="auto"/>
        <w:jc w:val="center"/>
        <w:rPr>
          <w:rFonts w:ascii="Arial" w:cs="Arial" w:eastAsia="Arial" w:hAnsi="Arial"/>
          <w:b w:val="0"/>
          <w:sz w:val="22"/>
          <w:szCs w:val="22"/>
          <w:u w:val="none"/>
        </w:rPr>
      </w:pPr>
      <w:r w:rsidDel="00000000" w:rsidR="00000000" w:rsidRPr="00000000">
        <w:rPr>
          <w:rFonts w:ascii="Arial" w:cs="Arial" w:eastAsia="Arial" w:hAnsi="Arial"/>
          <w:b w:val="0"/>
          <w:sz w:val="22"/>
          <w:szCs w:val="22"/>
          <w:u w:val="none"/>
          <w:rtl w:val="0"/>
        </w:rPr>
        <w:t xml:space="preserve">stkotsakis@sch.gr</w:t>
      </w:r>
    </w:p>
    <w:p w:rsidR="00000000" w:rsidDel="00000000" w:rsidP="00000000" w:rsidRDefault="00000000" w:rsidRPr="00000000" w14:paraId="00000004">
      <w:pPr>
        <w:pStyle w:val="Heading2"/>
        <w:spacing w:line="276" w:lineRule="auto"/>
        <w:ind w:left="2160" w:firstLine="720"/>
        <w:rPr>
          <w:rFonts w:ascii="Arial" w:cs="Arial" w:eastAsia="Arial" w:hAnsi="Arial"/>
          <w:i w:val="1"/>
          <w:sz w:val="20"/>
          <w:szCs w:val="20"/>
        </w:rPr>
      </w:pPr>
      <w:r w:rsidDel="00000000" w:rsidR="00000000" w:rsidRPr="00000000">
        <w:rPr>
          <w:rFonts w:ascii="Arial" w:cs="Arial" w:eastAsia="Arial" w:hAnsi="Arial"/>
          <w:b w:val="0"/>
          <w:i w:val="1"/>
          <w:sz w:val="20"/>
          <w:szCs w:val="20"/>
          <w:u w:val="none"/>
          <w:rtl w:val="0"/>
        </w:rPr>
        <w:t xml:space="preserve">Σ.Ε.Ε. ΠΕ86 5</w:t>
      </w:r>
      <w:r w:rsidDel="00000000" w:rsidR="00000000" w:rsidRPr="00000000">
        <w:rPr>
          <w:rFonts w:ascii="Arial" w:cs="Arial" w:eastAsia="Arial" w:hAnsi="Arial"/>
          <w:b w:val="0"/>
          <w:i w:val="1"/>
          <w:sz w:val="20"/>
          <w:szCs w:val="20"/>
          <w:u w:val="none"/>
          <w:vertAlign w:val="superscript"/>
          <w:rtl w:val="0"/>
        </w:rPr>
        <w:t xml:space="preserve">ου</w:t>
      </w:r>
      <w:r w:rsidDel="00000000" w:rsidR="00000000" w:rsidRPr="00000000">
        <w:rPr>
          <w:rFonts w:ascii="Arial" w:cs="Arial" w:eastAsia="Arial" w:hAnsi="Arial"/>
          <w:b w:val="0"/>
          <w:i w:val="1"/>
          <w:sz w:val="20"/>
          <w:szCs w:val="20"/>
          <w:u w:val="none"/>
          <w:rtl w:val="0"/>
        </w:rPr>
        <w:t xml:space="preserve"> ΠΕ.Κ.Ε.Σ. Αττικής</w:t>
      </w: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Βασικός σκοπός της διδασκαλίας μιας ενότητας ενός μαθήματος είναι η επίτευξη συγκεκριμένων μαθησιακών στόχων. Η υλοποίηση του παραπάνω ενισχύεται σε μεγάλο βαθμό από την κατάλληλη προετοιμασία του υλικού και της εκπαιδευτικής διαδικασίας, εκ μέρους του διδάσκοντος. Η ανάγκη της παραπάνω προετοιμασίας ενισχύεται ακόμη περισσότερο κατά την ανάπτυξη μιας ενότητας, με εργαλεία σύγχρονης ηλεκτρονικής μάθησης (synchronous e-learning), για εκπαίδευση εξ αποστάσεως. Ένα «ασύγχρονο ηλεκτρονικό μάθημα» συνήθως αποτελεί τη βάση της διδασκαλίας για την υλοποίηση «σύγχρονων ηλεκτρονικών μαθημάτων», με κατάλληλες πλατφόρμες on-line επικοινωνίας ή ακόμη και για τη «συμπλήρωση» της διδασκαλίας εντός της τάξης ή για μικτή μάθηση (blended learning ή για υβριδική μάθηση (Hybrid learning) ή για σύνθετη μάθηση (Synthesized learning).</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Σύμφωνα δε με την αρχή των εναλλακτικών μορφών αξιολόγησης: «Αξιολόγηση για τη μάθηση και όχι αξιολόγηση της μάθησης», η αυταξιολόγηση του μαθητή ενέχει ιδιαίτερη θέση  σε ένα ασύγχρονο e-learning μάθημα.</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Η παρούσα εισήγηση πραγματεύεται την ανάπτυξη διαδικασιών αυταξιολόγησης, με χρήση τόσο ίδιων εργαλείων μιας synchronous e-learning πλατφόρμας (Moodle) όσο και ενσωμάτωσης στην πλατφόρμα «έτοιμων» δραστηριοτήτων αυταξιολόγησης, οι οποίες έχουν δημιουργηθεί με άλλα λογισμικά, που απευθύνονται σε μαθητές των ΕΠΑ.Λ. . Να σημειωθεί ότι κατά την αυταξιολόγηση οι μαθητές δεν βαθμολογούνται (ποσοτική αξιολόγηση) αλλά εντοπίζουν μόνοι τους τα τυχόν «αδύνατα» «σημεία» τους, μέσω της «αυτόματης» αυτοδιόρθωσης και του σχολιασμού, από την πλατφόρμα, των ασκήσεών που έχουν υποβάλει.  Επίσης η εισήγηση πραγματεύεται και την παραγωγική (αποδοτική και αποτελεσματική) εποπτεία των μαθητών, για ανατροφοδότηση και βελτίωση της μαθησιακής τους πορείας. Προς τούτο αξιοποιούνται τα δεδομένα, από τα στατιστικά και διαχειριστικά εργαλεία της πλατφόρμας. Τα δεδομένα συλλέγονται, υφίστανται επεξεργασία και ερμηνεύονται. Από την ερμηνεία των επεξεργασμένων δεδομένων προσδιορίζονται τα τυχόν «αδύνατα» και «δυνατά»  σημεία των μαθητών και τους δίνονται οι κατάλληλες οδηγίες, σύμφωνα με τις αρχές της περιγραφικής-αυθεντικής αξιολόγησης μαθητή.</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Συγκεκριμένα παρουσιάζεται/προτείνεται η χρήση των εργαλείων της πλατφόρμας (με συγκεκριμένα παραδείγματα), για δημιουργία τραπεζών ερωτήσεων διαβαθμισμένης δυσκολίας κλειστού τύπου, δημιουργία τεστ διαβαθμισμένης δυσκολίας, με συγκεκριμένο αριθμό τυχαίων ερωτήσεων από τις προαναφερθείσες τράπεζες ερωτήσεων. Ο κάθε μαθητής μπορεί να «κάνει» ένα τεστ περισσότερες από μια φορές (το οποίο κάθε φορά μπορεί να έχει και διαφορετικές ερωτήσεις, με διαφοροποιημένη τη σειρά των ερωτήσεων και διαφοροποιημένη κάθε φορά τη σειρά των απαντήσεων μιας ερώτησης). Κάθε φορά που ο μαθητής ολοκληρώνει ένα τεστ, το σύστημα του εμφανίζει τα αποτελέσματα τα οποία συνοδεύει με κατάλληλα καθοδηγητικά σχόλια.</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Παρουσιάζονται/προτείνονται επίσης (με συγκεκριμένα παραδείγματα) και εργαλεία για δημιουργία τεστ αυταξιολόγησης με χαρακτήρα παιγνιώδη («σταυρόλεξο», «κρεμάλα», «κρυπτόλεξο», «sudoku», «η κρυμμένη εικόνα». Παράλληλα παρουσιάζεται/προτείνεται (με συγκεκριμέν παραάδειγμα),  η ενσωμάτωση έτοιμου SCORM αρχείου αυταξιολόγησης (HotPotatoes). Επιδεικνύεται δε η εισαγωγή έτοιμων αρχείων αυταξιολόγησης από άλλα λογισμικά διαφόρων format, όπως και η εξαγωγή των τεστ σε διάφορα format, για άλλα λογισμικά.</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Για την «εποπτεία» (με συγκεκριμένα παραδείγματα), παρουσιάζεται/προτείνεται το πρόσθετο  block «Δραστηριότητας»/ «Quiz», για την παρακολούθηση των υποβληθέντων τεστ, όπως και τα εργαλεία  «Quiz administration»/«Αρχεία εγγραφής». Ταυτόχρονα αναφέρονται για τα διαχειριστικά εργαλεία «Αναφορές» και «Στατιστικά».</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Όλα τα παραπάνω γενικεύονται και ισχύουν, σε μέγιστο βαθμό και σε άλλες αντίστοιχες πλατφόρμες, όπως η ηλεκτρονική τάξη (Open eClass), δύνανται δε να εφαρμοσθούν στο Γυμνάσιο, στο ΓΕ.Λ. &amp; στο Δημοτικό. </w:t>
      </w:r>
    </w:p>
    <w:p w:rsidR="00000000" w:rsidDel="00000000" w:rsidP="00000000" w:rsidRDefault="00000000" w:rsidRPr="00000000" w14:paraId="0000000D">
      <w:pPr>
        <w:spacing w:before="20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Λέξεις Κλειδιά:</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rtl w:val="0"/>
        </w:rPr>
        <w:t xml:space="preserve">e-learning, learning, αυταξιολόγηση, ασύγχρονη ηλεκτρονική μάθηση</w:t>
      </w: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Βιβλιογραφία</w:t>
      </w:r>
      <w:r w:rsidDel="00000000" w:rsidR="00000000" w:rsidRPr="00000000">
        <w:rPr>
          <w:rtl w:val="0"/>
        </w:rPr>
      </w:r>
    </w:p>
    <w:p w:rsidR="00000000" w:rsidDel="00000000" w:rsidP="00000000" w:rsidRDefault="00000000" w:rsidRPr="00000000" w14:paraId="0000000F">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Κασιμάτη, Κ., Πετροπούλου, Ο. &amp; Ρετάλης, Σ. (2015). Σύγχρονες Μορφές Εκπαιδευτικής Αξιολόγησης Με Αξιοποίηση Εκπαιδευτικών Τεχνολογιών. Αθήνα: Ανοικτή Βιβλιοθήκη</w:t>
      </w:r>
    </w:p>
    <w:p w:rsidR="00000000" w:rsidDel="00000000" w:rsidP="00000000" w:rsidRDefault="00000000" w:rsidRPr="00000000" w14:paraId="00000010">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Κασσωτάκης, Μ. (2013). Η Αξιολόγηση της Επίδοσης των Μαθητών: Θεωρητικές Προσεγγίσεις &amp; Πρακτικές Εφαρμογές. Αθήνα: Γρηγόρης.</w:t>
      </w:r>
    </w:p>
    <w:p w:rsidR="00000000" w:rsidDel="00000000" w:rsidP="00000000" w:rsidRDefault="00000000" w:rsidRPr="00000000" w14:paraId="00000011">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Oztok, M., Zingaro, D., Brett, C. &amp; Hewitt, J. (2013). </w:t>
      </w:r>
      <w:hyperlink r:id="rId7">
        <w:r w:rsidDel="00000000" w:rsidR="00000000" w:rsidRPr="00000000">
          <w:rPr>
            <w:rFonts w:ascii="Arial" w:cs="Arial" w:eastAsia="Arial" w:hAnsi="Arial"/>
            <w:sz w:val="20"/>
            <w:szCs w:val="20"/>
            <w:rtl w:val="0"/>
          </w:rPr>
          <w:t xml:space="preserve">Exploring asynchronous and synchronous tool use in online courses</w:t>
        </w:r>
      </w:hyperlink>
      <w:r w:rsidDel="00000000" w:rsidR="00000000" w:rsidRPr="00000000">
        <w:rPr>
          <w:rFonts w:ascii="Arial" w:cs="Arial" w:eastAsia="Arial" w:hAnsi="Arial"/>
          <w:sz w:val="20"/>
          <w:szCs w:val="20"/>
          <w:rtl w:val="0"/>
        </w:rPr>
        <w:t xml:space="preserve">. </w:t>
      </w:r>
      <w:hyperlink r:id="rId8">
        <w:r w:rsidDel="00000000" w:rsidR="00000000" w:rsidRPr="00000000">
          <w:rPr>
            <w:rFonts w:ascii="Arial" w:cs="Arial" w:eastAsia="Arial" w:hAnsi="Arial"/>
            <w:sz w:val="20"/>
            <w:szCs w:val="20"/>
            <w:rtl w:val="0"/>
          </w:rPr>
          <w:t xml:space="preserve">Computers &amp; Education</w:t>
        </w:r>
      </w:hyperlink>
      <w:r w:rsidDel="00000000" w:rsidR="00000000" w:rsidRPr="00000000">
        <w:rPr>
          <w:rFonts w:ascii="Arial" w:cs="Arial" w:eastAsia="Arial" w:hAnsi="Arial"/>
          <w:sz w:val="20"/>
          <w:szCs w:val="20"/>
          <w:rtl w:val="0"/>
        </w:rPr>
        <w:t xml:space="preserve">, 60, 87-94</w:t>
      </w:r>
    </w:p>
    <w:p w:rsidR="00000000" w:rsidDel="00000000" w:rsidP="00000000" w:rsidRDefault="00000000" w:rsidRPr="00000000" w14:paraId="00000012">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European Commission (2002b), What’s new in eLearning?, from </w:t>
      </w:r>
      <w:hyperlink r:id="rId9">
        <w:r w:rsidDel="00000000" w:rsidR="00000000" w:rsidRPr="00000000">
          <w:rPr>
            <w:rFonts w:ascii="Arial" w:cs="Arial" w:eastAsia="Arial" w:hAnsi="Arial"/>
            <w:sz w:val="20"/>
            <w:szCs w:val="20"/>
            <w:rtl w:val="0"/>
          </w:rPr>
          <w:t xml:space="preserve">http://europa.eu.int/comm/education/elearning</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3">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Moodle 2.8 Documentation. Retrieved 24 June, 2015 from </w:t>
      </w:r>
      <w:hyperlink r:id="rId10">
        <w:r w:rsidDel="00000000" w:rsidR="00000000" w:rsidRPr="00000000">
          <w:rPr>
            <w:rFonts w:ascii="Arial" w:cs="Arial" w:eastAsia="Arial" w:hAnsi="Arial"/>
            <w:sz w:val="20"/>
            <w:szCs w:val="20"/>
            <w:rtl w:val="0"/>
          </w:rPr>
          <w:t xml:space="preserve">https://docs.moodle.org/28/en/Main_page</w:t>
        </w:r>
      </w:hyperlink>
      <w:r w:rsidDel="00000000" w:rsidR="00000000" w:rsidRPr="00000000">
        <w:rPr>
          <w:rFonts w:ascii="Arial" w:cs="Arial" w:eastAsia="Arial" w:hAnsi="Arial"/>
          <w:sz w:val="20"/>
          <w:szCs w:val="20"/>
          <w:rtl w:val="0"/>
        </w:rPr>
        <w:t xml:space="preserve">.</w:t>
      </w:r>
    </w:p>
    <w:sectPr>
      <w:pgSz w:h="16838" w:w="11906"/>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76" w:lineRule="auto"/>
        <w:ind w:firstLine="68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F65F45"/>
  </w:style>
  <w:style w:type="paragraph" w:styleId="1">
    <w:name w:val="heading 1"/>
    <w:basedOn w:val="a"/>
    <w:next w:val="a"/>
    <w:link w:val="1Char"/>
    <w:uiPriority w:val="9"/>
    <w:qFormat w:val="1"/>
    <w:rsid w:val="00077545"/>
    <w:pPr>
      <w:keepNext w:val="1"/>
      <w:spacing w:after="0" w:line="240" w:lineRule="auto"/>
      <w:outlineLvl w:val="0"/>
    </w:pPr>
    <w:rPr>
      <w:rFonts w:ascii="Times New Roman" w:cs="Times New Roman" w:eastAsia="Times New Roman" w:hAnsi="Times New Roman"/>
      <w:b w:val="1"/>
      <w:iCs w:val="1"/>
      <w:sz w:val="24"/>
      <w:szCs w:val="24"/>
    </w:rPr>
  </w:style>
  <w:style w:type="paragraph" w:styleId="2">
    <w:name w:val="heading 2"/>
    <w:basedOn w:val="a"/>
    <w:next w:val="a"/>
    <w:link w:val="2Char"/>
    <w:uiPriority w:val="9"/>
    <w:unhideWhenUsed w:val="1"/>
    <w:qFormat w:val="1"/>
    <w:rsid w:val="00077545"/>
    <w:pPr>
      <w:keepNext w:val="1"/>
      <w:spacing w:after="0" w:line="240" w:lineRule="auto"/>
      <w:outlineLvl w:val="1"/>
    </w:pPr>
    <w:rPr>
      <w:rFonts w:ascii="Times New Roman" w:cs="Times New Roman" w:eastAsia="Times New Roman" w:hAnsi="Times New Roman"/>
      <w:b w:val="1"/>
      <w:bCs w:val="1"/>
      <w:sz w:val="24"/>
      <w:szCs w:val="24"/>
      <w:u w:val="single"/>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1Char" w:customStyle="1">
    <w:name w:val="Επικεφαλίδα 1 Char"/>
    <w:basedOn w:val="a0"/>
    <w:link w:val="1"/>
    <w:rsid w:val="00077545"/>
    <w:rPr>
      <w:rFonts w:ascii="Times New Roman" w:cs="Times New Roman" w:eastAsia="Times New Roman" w:hAnsi="Times New Roman"/>
      <w:b w:val="1"/>
      <w:iCs w:val="1"/>
      <w:sz w:val="24"/>
      <w:szCs w:val="24"/>
      <w:lang w:eastAsia="el-GR"/>
    </w:rPr>
  </w:style>
  <w:style w:type="character" w:styleId="2Char" w:customStyle="1">
    <w:name w:val="Επικεφαλίδα 2 Char"/>
    <w:basedOn w:val="a0"/>
    <w:link w:val="2"/>
    <w:rsid w:val="00077545"/>
    <w:rPr>
      <w:rFonts w:ascii="Times New Roman" w:cs="Times New Roman" w:eastAsia="Times New Roman" w:hAnsi="Times New Roman"/>
      <w:b w:val="1"/>
      <w:bCs w:val="1"/>
      <w:sz w:val="24"/>
      <w:szCs w:val="24"/>
      <w:u w:val="single"/>
    </w:rPr>
  </w:style>
  <w:style w:type="character" w:styleId="-">
    <w:name w:val="Hyperlink"/>
    <w:basedOn w:val="a0"/>
    <w:uiPriority w:val="99"/>
    <w:unhideWhenUsed w:val="1"/>
    <w:rsid w:val="00194831"/>
    <w:rPr>
      <w:color w:val="0563c1" w:themeColor="hyperlink"/>
      <w:u w:val="single"/>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moodle.org/28/en/Main_page" TargetMode="External"/><Relationship Id="rId9" Type="http://schemas.openxmlformats.org/officeDocument/2006/relationships/hyperlink" Target="http://europa.eu.int/comm/education/elearn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iencedirect.com/science/article/pii/S0360131512001935" TargetMode="External"/><Relationship Id="rId8" Type="http://schemas.openxmlformats.org/officeDocument/2006/relationships/hyperlink" Target="https://www.sciencedirect.com/science/journal/03601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zBICay68ybHVtiy/KSgzhPmMbA==">AMUW2mU5lbXkjWYDnc3+CmG5FvXfXBXI5zYlYjqeAkdUS5Lq5FvNIkvl1I2ZiBdCfXJVXxCLEtcFUY4lW/vExZ7F94zGbWIdqtZyrW6ST11bqBrHe076JDg=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2020-04-21T23:16:00Z</dcterms:created>
  <dc:creator>User</dc:creator>
</cp:coreProperties>
</file>