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line="276" w:lineRule="auto"/>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Εξ αποστάσεως σχολική εκπαίδευση: </w:t>
      </w:r>
    </w:p>
    <w:p w:rsidR="00000000" w:rsidDel="00000000" w:rsidP="00000000" w:rsidRDefault="00000000" w:rsidRPr="00000000" w14:paraId="00000002">
      <w:pPr>
        <w:pStyle w:val="Heading1"/>
        <w:spacing w:line="276" w:lineRule="auto"/>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παραδείγματα και πρακτικές στο δημοτικό σχολείο</w:t>
      </w:r>
    </w:p>
    <w:p w:rsidR="00000000" w:rsidDel="00000000" w:rsidP="00000000" w:rsidRDefault="00000000" w:rsidRPr="00000000" w14:paraId="00000003">
      <w:pPr>
        <w:pStyle w:val="Heading2"/>
        <w:spacing w:before="240" w:line="276" w:lineRule="auto"/>
        <w:jc w:val="center"/>
        <w:rPr>
          <w:rFonts w:ascii="Arial" w:cs="Arial" w:eastAsia="Arial" w:hAnsi="Arial"/>
          <w:u w:val="none"/>
        </w:rPr>
      </w:pPr>
      <w:r w:rsidDel="00000000" w:rsidR="00000000" w:rsidRPr="00000000">
        <w:rPr>
          <w:rFonts w:ascii="Arial" w:cs="Arial" w:eastAsia="Arial" w:hAnsi="Arial"/>
          <w:u w:val="none"/>
          <w:rtl w:val="0"/>
        </w:rPr>
        <w:t xml:space="preserve">Δρ. Βασιλική (Σύλβη) Ιωακειμίδου</w:t>
      </w:r>
      <w:r w:rsidDel="00000000" w:rsidR="00000000" w:rsidRPr="00000000">
        <w:rPr>
          <w:rFonts w:ascii="Arial" w:cs="Arial" w:eastAsia="Arial" w:hAnsi="Arial"/>
          <w:u w:val="none"/>
          <w:vertAlign w:val="superscript"/>
          <w:rtl w:val="0"/>
        </w:rPr>
        <w:t xml:space="preserve">1</w:t>
      </w:r>
      <w:r w:rsidDel="00000000" w:rsidR="00000000" w:rsidRPr="00000000">
        <w:rPr>
          <w:rFonts w:ascii="Arial" w:cs="Arial" w:eastAsia="Arial" w:hAnsi="Arial"/>
          <w:u w:val="none"/>
          <w:rtl w:val="0"/>
        </w:rPr>
        <w:t xml:space="preserve"> </w:t>
      </w:r>
    </w:p>
    <w:p w:rsidR="00000000" w:rsidDel="00000000" w:rsidP="00000000" w:rsidRDefault="00000000" w:rsidRPr="00000000" w14:paraId="00000004">
      <w:pPr>
        <w:pStyle w:val="Heading2"/>
        <w:spacing w:after="200" w:before="240" w:line="276" w:lineRule="auto"/>
        <w:jc w:val="center"/>
        <w:rPr>
          <w:rFonts w:ascii="Arial" w:cs="Arial" w:eastAsia="Arial" w:hAnsi="Arial"/>
          <w:b w:val="0"/>
          <w:sz w:val="22"/>
          <w:szCs w:val="22"/>
          <w:u w:val="none"/>
        </w:rPr>
      </w:pPr>
      <w:r w:rsidDel="00000000" w:rsidR="00000000" w:rsidRPr="00000000">
        <w:rPr>
          <w:rFonts w:ascii="Arial" w:cs="Arial" w:eastAsia="Arial" w:hAnsi="Arial"/>
          <w:b w:val="0"/>
          <w:sz w:val="22"/>
          <w:szCs w:val="22"/>
          <w:u w:val="none"/>
          <w:rtl w:val="0"/>
        </w:rPr>
        <w:t xml:space="preserve">silviioakimidou@yahoo.gr</w:t>
      </w:r>
    </w:p>
    <w:p w:rsidR="00000000" w:rsidDel="00000000" w:rsidP="00000000" w:rsidRDefault="00000000" w:rsidRPr="00000000" w14:paraId="00000005">
      <w:pPr>
        <w:pStyle w:val="Heading2"/>
        <w:numPr>
          <w:ilvl w:val="0"/>
          <w:numId w:val="1"/>
        </w:numPr>
        <w:spacing w:line="276" w:lineRule="auto"/>
        <w:ind w:left="1440" w:hanging="360"/>
        <w:jc w:val="center"/>
        <w:rPr>
          <w:rFonts w:ascii="Arial" w:cs="Arial" w:eastAsia="Arial" w:hAnsi="Arial"/>
          <w:b w:val="0"/>
        </w:rPr>
      </w:pPr>
      <w:r w:rsidDel="00000000" w:rsidR="00000000" w:rsidRPr="00000000">
        <w:rPr>
          <w:rFonts w:ascii="Arial" w:cs="Arial" w:eastAsia="Arial" w:hAnsi="Arial"/>
          <w:b w:val="0"/>
          <w:i w:val="1"/>
          <w:sz w:val="20"/>
          <w:szCs w:val="20"/>
          <w:u w:val="none"/>
          <w:rtl w:val="0"/>
        </w:rPr>
        <w:t xml:space="preserve">Εκπαιδευτικός ΠΕ70, 152</w:t>
      </w:r>
      <w:r w:rsidDel="00000000" w:rsidR="00000000" w:rsidRPr="00000000">
        <w:rPr>
          <w:rFonts w:ascii="Arial" w:cs="Arial" w:eastAsia="Arial" w:hAnsi="Arial"/>
          <w:b w:val="0"/>
          <w:i w:val="1"/>
          <w:sz w:val="20"/>
          <w:szCs w:val="20"/>
          <w:u w:val="none"/>
          <w:vertAlign w:val="superscript"/>
          <w:rtl w:val="0"/>
        </w:rPr>
        <w:t xml:space="preserve">ο</w:t>
      </w:r>
      <w:r w:rsidDel="00000000" w:rsidR="00000000" w:rsidRPr="00000000">
        <w:rPr>
          <w:rFonts w:ascii="Arial" w:cs="Arial" w:eastAsia="Arial" w:hAnsi="Arial"/>
          <w:b w:val="0"/>
          <w:i w:val="1"/>
          <w:sz w:val="20"/>
          <w:szCs w:val="20"/>
          <w:u w:val="none"/>
          <w:rtl w:val="0"/>
        </w:rPr>
        <w:t xml:space="preserve"> Δ.Σ. Αθηνών</w:t>
      </w:r>
      <w:r w:rsidDel="00000000" w:rsidR="00000000" w:rsidRPr="00000000">
        <w:rPr>
          <w:rtl w:val="0"/>
        </w:rPr>
      </w:r>
    </w:p>
    <w:p w:rsidR="00000000" w:rsidDel="00000000" w:rsidP="00000000" w:rsidRDefault="00000000" w:rsidRPr="00000000" w14:paraId="00000006">
      <w:pPr>
        <w:jc w:val="cente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sz w:val="24"/>
          <w:szCs w:val="24"/>
        </w:rPr>
      </w:pPr>
      <w:r w:rsidDel="00000000" w:rsidR="00000000" w:rsidRPr="00000000">
        <w:rPr>
          <w:rFonts w:ascii="Arial" w:cs="Arial" w:eastAsia="Arial" w:hAnsi="Arial"/>
          <w:sz w:val="24"/>
          <w:szCs w:val="24"/>
          <w:rtl w:val="0"/>
        </w:rPr>
        <w:t xml:space="preserve">Σκοπός της παρούσας εισήγησης είναι η εφαρμογή βασικών αρχών δημιουργίας και αξιοποίησης υλικού για σύγχρονη και ασύγχρονη εξ αποστάσεως σχολική εκπαίδευση. Πιο συγκεκριμένα, η εισήγηση επιδιώκει μέσα από παραδείγματα και πρακτικές σχεδιασμένα και δοκιμασμένα ειδικά για εξ αποστάσεως σχολική εκπαίδευση τις τελευταίες εβδομάδες να:</w:t>
      </w:r>
    </w:p>
    <w:p w:rsidR="00000000" w:rsidDel="00000000" w:rsidP="00000000" w:rsidRDefault="00000000" w:rsidRPr="00000000" w14:paraId="0000000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αναδειχθούν βασικά χαρακτηριστικά ποιοτικού εκπαιδευτικού υλικού,</w:t>
      </w:r>
    </w:p>
    <w:p w:rsidR="00000000" w:rsidDel="00000000" w:rsidP="00000000" w:rsidRDefault="00000000" w:rsidRPr="00000000" w14:paraId="0000000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να παρουσιαστούν τρόποι ανατροφοδότησης και αυτοαξιολόγησης με αφορμή το εκπαιδευτικό υλικό,</w:t>
      </w:r>
    </w:p>
    <w:p w:rsidR="00000000" w:rsidDel="00000000" w:rsidP="00000000" w:rsidRDefault="00000000" w:rsidRPr="00000000" w14:paraId="0000000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να  διατυπωθούν σύντομες προτάσεις σχετικά με το περιεχόμενο για σύγχρονη και ασύγχρονη εκπαιδευτική επικοινωνιακή συνθήκη.</w:t>
      </w:r>
    </w:p>
    <w:p w:rsidR="00000000" w:rsidDel="00000000" w:rsidP="00000000" w:rsidRDefault="00000000" w:rsidRPr="00000000" w14:paraId="0000000B">
      <w:pPr>
        <w:rPr>
          <w:rFonts w:ascii="Arial" w:cs="Arial" w:eastAsia="Arial" w:hAnsi="Arial"/>
          <w:sz w:val="24"/>
          <w:szCs w:val="24"/>
        </w:rPr>
      </w:pPr>
      <w:r w:rsidDel="00000000" w:rsidR="00000000" w:rsidRPr="00000000">
        <w:rPr>
          <w:rFonts w:ascii="Arial" w:cs="Arial" w:eastAsia="Arial" w:hAnsi="Arial"/>
          <w:sz w:val="24"/>
          <w:szCs w:val="24"/>
          <w:rtl w:val="0"/>
        </w:rPr>
        <w:t xml:space="preserve">Στο πλαίσιο της εξ αποστάσεως σχολικής εκπαίδευσης η σύγχρονη και η ασύγχρονη εκπαιδευτική συνθήκη αναφέρεται κυρίως στη διάσταση του χρόνου εφόσον ο τόπος στον οποίο βρίσκονται εκπαιδευτικός και μαθητές είναι δεδομένα διαφορετικός. </w:t>
      </w:r>
    </w:p>
    <w:p w:rsidR="00000000" w:rsidDel="00000000" w:rsidP="00000000" w:rsidRDefault="00000000" w:rsidRPr="00000000" w14:paraId="0000000C">
      <w:pPr>
        <w:rPr>
          <w:rFonts w:ascii="Arial" w:cs="Arial" w:eastAsia="Arial" w:hAnsi="Arial"/>
          <w:sz w:val="24"/>
          <w:szCs w:val="24"/>
        </w:rPr>
      </w:pPr>
      <w:r w:rsidDel="00000000" w:rsidR="00000000" w:rsidRPr="00000000">
        <w:rPr>
          <w:rFonts w:ascii="Arial" w:cs="Arial" w:eastAsia="Arial" w:hAnsi="Arial"/>
          <w:sz w:val="24"/>
          <w:szCs w:val="24"/>
          <w:rtl w:val="0"/>
        </w:rPr>
        <w:t xml:space="preserve">Στην ασύγχρονη επικοινωνία κυρίαρχο εργαλείο είναι το εκπαιδευτικό υλικό. Βασικά χαρακτηριστικά του ειδικά για εξ αποστάσεως εκπαιδευτικό υλικό μπορούν μεταξύ άλλων να συνοψιστούν στα εξής (Μανούσου, 2008· Χαρτοφύλακα, 2012):</w:t>
      </w:r>
    </w:p>
    <w:tbl>
      <w:tblPr>
        <w:tblStyle w:val="Table1"/>
        <w:tblW w:w="8522.0" w:type="dxa"/>
        <w:jc w:val="left"/>
        <w:tblInd w:w="0.0" w:type="dxa"/>
        <w:tblBorders>
          <w:top w:color="bbbbbb" w:space="0" w:sz="8" w:val="single"/>
          <w:left w:color="bbbbbb" w:space="0" w:sz="8" w:val="single"/>
          <w:bottom w:color="bbbbbb" w:space="0" w:sz="8" w:val="single"/>
          <w:right w:color="bbbbbb" w:space="0" w:sz="8" w:val="single"/>
          <w:insideH w:color="bbbbbb" w:space="0" w:sz="8" w:val="single"/>
          <w:insideV w:color="bbbbbb" w:space="0" w:sz="8" w:val="single"/>
        </w:tblBorders>
        <w:tblLayout w:type="fixed"/>
        <w:tblLook w:val="04A0"/>
      </w:tblPr>
      <w:tblGrid>
        <w:gridCol w:w="1548"/>
        <w:gridCol w:w="2790"/>
        <w:gridCol w:w="4184"/>
        <w:tblGridChange w:id="0">
          <w:tblGrid>
            <w:gridCol w:w="1548"/>
            <w:gridCol w:w="2790"/>
            <w:gridCol w:w="4184"/>
          </w:tblGrid>
        </w:tblGridChange>
      </w:tblGrid>
      <w:tr>
        <w:tc>
          <w:tcPr/>
          <w:p w:rsidR="00000000" w:rsidDel="00000000" w:rsidP="00000000" w:rsidRDefault="00000000" w:rsidRPr="00000000" w14:paraId="0000000D">
            <w:pPr>
              <w:ind w:firstLine="0"/>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στόχοι</w:t>
            </w:r>
          </w:p>
        </w:tc>
        <w:tc>
          <w:tcPr/>
          <w:p w:rsidR="00000000" w:rsidDel="00000000" w:rsidP="00000000" w:rsidRDefault="00000000" w:rsidRPr="00000000" w14:paraId="0000000E">
            <w:pPr>
              <w:ind w:firstLine="0"/>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φιλικό ύφος</w:t>
            </w:r>
          </w:p>
        </w:tc>
        <w:tc>
          <w:tcPr/>
          <w:p w:rsidR="00000000" w:rsidDel="00000000" w:rsidP="00000000" w:rsidRDefault="00000000" w:rsidRPr="00000000" w14:paraId="0000000F">
            <w:pPr>
              <w:ind w:firstLine="0"/>
              <w:jc w:val="left"/>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να προσελκύει το ενδιαφέρον</w:t>
            </w:r>
          </w:p>
        </w:tc>
      </w:tr>
      <w:tr>
        <w:tc>
          <w:tcPr/>
          <w:p w:rsidR="00000000" w:rsidDel="00000000" w:rsidP="00000000" w:rsidRDefault="00000000" w:rsidRPr="00000000" w14:paraId="00000010">
            <w:pPr>
              <w:ind w:firstLine="0"/>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σαφήνεια</w:t>
            </w:r>
          </w:p>
        </w:tc>
        <w:tc>
          <w:tcPr/>
          <w:p w:rsidR="00000000" w:rsidDel="00000000" w:rsidP="00000000" w:rsidRDefault="00000000" w:rsidRPr="00000000" w14:paraId="00000011">
            <w:pPr>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παραδείγματα</w:t>
            </w:r>
          </w:p>
        </w:tc>
        <w:tc>
          <w:tcPr/>
          <w:p w:rsidR="00000000" w:rsidDel="00000000" w:rsidP="00000000" w:rsidRDefault="00000000" w:rsidRPr="00000000" w14:paraId="00000012">
            <w:pPr>
              <w:ind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να υπάρχει κατάτμηση της ύλης</w:t>
            </w:r>
          </w:p>
        </w:tc>
      </w:tr>
      <w:tr>
        <w:tc>
          <w:tcPr/>
          <w:p w:rsidR="00000000" w:rsidDel="00000000" w:rsidP="00000000" w:rsidRDefault="00000000" w:rsidRPr="00000000" w14:paraId="00000013">
            <w:pPr>
              <w:ind w:firstLine="0"/>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επεξηγήσεις</w:t>
            </w:r>
          </w:p>
        </w:tc>
        <w:tc>
          <w:tcPr/>
          <w:p w:rsidR="00000000" w:rsidDel="00000000" w:rsidP="00000000" w:rsidRDefault="00000000" w:rsidRPr="00000000" w14:paraId="00000014">
            <w:pPr>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διαφορετικά ερεθίσματα</w:t>
            </w:r>
          </w:p>
        </w:tc>
        <w:tc>
          <w:tcPr/>
          <w:p w:rsidR="00000000" w:rsidDel="00000000" w:rsidP="00000000" w:rsidRDefault="00000000" w:rsidRPr="00000000" w14:paraId="00000015">
            <w:pPr>
              <w:ind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να είναι διαβαθμισμένης δυσκολίας</w:t>
            </w:r>
          </w:p>
        </w:tc>
      </w:tr>
      <w:tr>
        <w:trPr>
          <w:trHeight w:val="440" w:hRule="atLeast"/>
        </w:trPr>
        <w:tc>
          <w:tcPr/>
          <w:p w:rsidR="00000000" w:rsidDel="00000000" w:rsidP="00000000" w:rsidRDefault="00000000" w:rsidRPr="00000000" w14:paraId="00000016">
            <w:pPr>
              <w:ind w:firstLine="0"/>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συντομία</w:t>
            </w:r>
          </w:p>
        </w:tc>
        <w:tc>
          <w:tcPr/>
          <w:p w:rsidR="00000000" w:rsidDel="00000000" w:rsidP="00000000" w:rsidRDefault="00000000" w:rsidRPr="00000000" w14:paraId="00000017">
            <w:pPr>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να είναι καλαίσθητο</w:t>
            </w:r>
          </w:p>
        </w:tc>
        <w:tc>
          <w:tcPr/>
          <w:p w:rsidR="00000000" w:rsidDel="00000000" w:rsidP="00000000" w:rsidRDefault="00000000" w:rsidRPr="00000000" w14:paraId="00000018">
            <w:pPr>
              <w:ind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να προσφέρει ευκαιρίες ανατροφοδότησης</w:t>
            </w:r>
          </w:p>
        </w:tc>
      </w:tr>
    </w:tbl>
    <w:p w:rsidR="00000000" w:rsidDel="00000000" w:rsidP="00000000" w:rsidRDefault="00000000" w:rsidRPr="00000000" w14:paraId="00000019">
      <w:pPr>
        <w:ind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rPr>
          <w:rFonts w:ascii="Arial" w:cs="Arial" w:eastAsia="Arial" w:hAnsi="Arial"/>
          <w:sz w:val="24"/>
          <w:szCs w:val="24"/>
        </w:rPr>
      </w:pPr>
      <w:r w:rsidDel="00000000" w:rsidR="00000000" w:rsidRPr="00000000">
        <w:rPr>
          <w:rFonts w:ascii="Arial" w:cs="Arial" w:eastAsia="Arial" w:hAnsi="Arial"/>
          <w:sz w:val="24"/>
          <w:szCs w:val="24"/>
          <w:rtl w:val="0"/>
        </w:rPr>
        <w:t xml:space="preserve">Ένα κομβικής σημασίας κριτήριο μιας ποιοτικής εκπαιδευτικής διαδικασίας είναι οι ευκαιρίες ανατροφοδότησης και αυτοαξιολόγησης που προσφέρει στους μαθητές (Ιωακειμίδου &amp; Λιοναράκης, 2017). Η ανατροφοδότηση αφορά πληροφορίες που παρέχονται στον εκπαιδευόμενο με στόχο τη διαρκή βελτίωση της μαθησιακής διαδικασίας και κατά συνέπεια των μαθησιακών αποτελεσμάτων. Ανατροφοδότηση μπορεί να λάβει ένας μαθητής / μια μαθήτρια από τον εκπαιδευτικό, από έναν συμμαθητή ή από την ομάδα των συμμαθητών του, από άλλα κοντινά πρόσωπα, αλλά και από πηγές όπως βιβλία (Gibbs &amp; Simpson, 2004) ή το εκπαιδευτικό υλικό που καλείται να μελετήσει. Οι τελευταίες δυο περιπτώσεις στην ουσία παραπέμπουν και στη διαδικασία της αυτοαξιολόγησης, όπου ο μαθητής αξιολογεί τη μαθησιακή του πορεία κι αυτό ιδανικά μπορεί να τον οδηγήσει σε αυτοέλεγχο, αυτορρύθμιση και τελικά στην αυτόνομη μάθηση, που αποτελεί ζητούμενο για την εξ αποστάσεως εκπαίδευση. Σε αυτές τις διαδικασίες είναι σημαντικό να εκπαιδευτούν οι μαθητές. </w:t>
      </w:r>
    </w:p>
    <w:p w:rsidR="00000000" w:rsidDel="00000000" w:rsidP="00000000" w:rsidRDefault="00000000" w:rsidRPr="00000000" w14:paraId="0000001B">
      <w:pPr>
        <w:rPr>
          <w:rFonts w:ascii="Arial" w:cs="Arial" w:eastAsia="Arial" w:hAnsi="Arial"/>
          <w:sz w:val="24"/>
          <w:szCs w:val="24"/>
        </w:rPr>
      </w:pPr>
      <w:r w:rsidDel="00000000" w:rsidR="00000000" w:rsidRPr="00000000">
        <w:rPr>
          <w:rFonts w:ascii="Arial" w:cs="Arial" w:eastAsia="Arial" w:hAnsi="Arial"/>
          <w:sz w:val="24"/>
          <w:szCs w:val="24"/>
          <w:rtl w:val="0"/>
        </w:rPr>
        <w:t xml:space="preserve">Η πρόκληση στη δύσκολη σημερινή συνθήκη είναι να αξιοποιήσουμε την αναγκαστική συνθήκη αναδεικνύοντας ό,τι αποτελεί προστιθέμενη αξία στη ζωή μας. Αυτό για την εκπαιδευτική διαδικασία σημαίνει να βρει τρόπους με δημιουργικό κι ευχάριστο τρόπο να εκμεταλλευτεί την περίσταση και την αξιοποιήσει σε επίπεδο διαμόρφωσης νέων εναλλακτικών μαθησιακών διαδρομών με νέα εργαλεία αλλά και νέο περιεχόμενο. Σταθερή στόχευση της εξ αποστάσεως σχολικής εκπαίδευσης οφείλει να είναι προφανώς η πρόσβαση και συμπερίληψη όλων των μαθητών αλλά και η διαρκής βελτίωσης της ποιότητας της μαθησιακής διαδικασίας. </w:t>
      </w:r>
    </w:p>
    <w:p w:rsidR="00000000" w:rsidDel="00000000" w:rsidP="00000000" w:rsidRDefault="00000000" w:rsidRPr="00000000" w14:paraId="0000001C">
      <w:pPr>
        <w:spacing w:after="0" w:line="240" w:lineRule="auto"/>
        <w:rPr>
          <w:b w:val="1"/>
          <w:sz w:val="24"/>
          <w:szCs w:val="24"/>
        </w:rPr>
      </w:pPr>
      <w:r w:rsidDel="00000000" w:rsidR="00000000" w:rsidRPr="00000000">
        <w:rPr>
          <w:rtl w:val="0"/>
        </w:rPr>
      </w:r>
    </w:p>
    <w:p w:rsidR="00000000" w:rsidDel="00000000" w:rsidP="00000000" w:rsidRDefault="00000000" w:rsidRPr="00000000" w14:paraId="0000001D">
      <w:pPr>
        <w:spacing w:before="20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Λέξεις Κλειδιά:</w:t>
      </w:r>
      <w:r w:rsidDel="00000000" w:rsidR="00000000" w:rsidRPr="00000000">
        <w:rPr>
          <w:rFonts w:ascii="Arial" w:cs="Arial" w:eastAsia="Arial" w:hAnsi="Arial"/>
          <w:i w:val="1"/>
          <w:sz w:val="24"/>
          <w:szCs w:val="24"/>
          <w:rtl w:val="0"/>
        </w:rPr>
        <w:t xml:space="preserve"> </w:t>
      </w:r>
      <w:r w:rsidDel="00000000" w:rsidR="00000000" w:rsidRPr="00000000">
        <w:rPr>
          <w:rFonts w:ascii="Arial" w:cs="Arial" w:eastAsia="Arial" w:hAnsi="Arial"/>
          <w:sz w:val="24"/>
          <w:szCs w:val="24"/>
          <w:rtl w:val="0"/>
        </w:rPr>
        <w:t xml:space="preserve">εξ αποστάσεως σχολική εκπαίδευση, σύγχρονη και ασύγχρονη επικοινωνία, εκπαιδευτικό υλικό, ανατροφοδότηση</w:t>
      </w:r>
    </w:p>
    <w:p w:rsidR="00000000" w:rsidDel="00000000" w:rsidP="00000000" w:rsidRDefault="00000000" w:rsidRPr="00000000" w14:paraId="0000001E">
      <w:pPr>
        <w:spacing w:before="20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Βιβλιογραφία</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0">
      <w:pPr>
        <w:ind w:left="72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Gibbs, G. &amp; Simpson, C. (2004). Conditions under which assessment supports students’ learning. Learning and Teaching in Education, Vol 1, 3-31.</w:t>
      </w:r>
    </w:p>
    <w:p w:rsidR="00000000" w:rsidDel="00000000" w:rsidP="00000000" w:rsidRDefault="00000000" w:rsidRPr="00000000" w14:paraId="00000021">
      <w:pPr>
        <w:ind w:left="72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Hattie, J. &amp; Timperley, H. (2007). The Power of Feedback. Review of Educational Research, 77(1), 81-112. Retrieved on 19 April, 2020 from </w:t>
      </w:r>
      <w:hyperlink r:id="rId7">
        <w:r w:rsidDel="00000000" w:rsidR="00000000" w:rsidRPr="00000000">
          <w:rPr>
            <w:rFonts w:ascii="Arial" w:cs="Arial" w:eastAsia="Arial" w:hAnsi="Arial"/>
            <w:sz w:val="20"/>
            <w:szCs w:val="20"/>
            <w:rtl w:val="0"/>
          </w:rPr>
          <w:t xml:space="preserve">https://journals-sagepub-com.proxy.eap.gr/doi/pdf/10.3102/003465430298487</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22">
      <w:pPr>
        <w:ind w:left="72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Ιωακειμίδου, Β. &amp; Λιοναράκης, Α. (2017). Η διαρκής βελτίωση της ποιότητας στη εξ αποστάσεως πανεπιστημιακή εκπαίδευση. Τάσεις και προσανατολισμοί. Open Education: The Journal for Open and Distance Education and Educational Technology, Τόμ. 13 (2), 124-139. Ανακτήθηκε στις 18 Απρίλίου, 2020 από </w:t>
      </w:r>
      <w:hyperlink r:id="rId8">
        <w:r w:rsidDel="00000000" w:rsidR="00000000" w:rsidRPr="00000000">
          <w:rPr>
            <w:rFonts w:ascii="Arial" w:cs="Arial" w:eastAsia="Arial" w:hAnsi="Arial"/>
            <w:sz w:val="20"/>
            <w:szCs w:val="20"/>
            <w:rtl w:val="0"/>
          </w:rPr>
          <w:t xml:space="preserve">https://ejournals.epublishing.ekt.gr/index.php/openjournal/article/view/15541/14047</w:t>
        </w:r>
      </w:hyperlink>
      <w:r w:rsidDel="00000000" w:rsidR="00000000" w:rsidRPr="00000000">
        <w:rPr>
          <w:rtl w:val="0"/>
        </w:rPr>
      </w:r>
    </w:p>
    <w:p w:rsidR="00000000" w:rsidDel="00000000" w:rsidP="00000000" w:rsidRDefault="00000000" w:rsidRPr="00000000" w14:paraId="00000023">
      <w:pPr>
        <w:ind w:left="72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Μανούσου, Ε. (2008). Προδιαγραφές Παιδαγωγικού Πλαισίου για την Εφαρμογή Πολυμορφικής Συμπληρωματικής εξ Αποστάσεως Εκπαίδευσης σε Μαθητές Πρωτοβάθμιας, Ολιγοθέσιων και Απομακρυσμένων Σχολείων της Ελλάδας (αδημοσίευτη διδακτορική διατριβή). Ελληνικό Ανοικτό Πανεπιστήμιο. Ανακτήθηκε στις 18 Αυγούστου, 2017 από </w:t>
      </w:r>
      <w:hyperlink r:id="rId9">
        <w:r w:rsidDel="00000000" w:rsidR="00000000" w:rsidRPr="00000000">
          <w:rPr>
            <w:rFonts w:ascii="Arial" w:cs="Arial" w:eastAsia="Arial" w:hAnsi="Arial"/>
            <w:sz w:val="20"/>
            <w:szCs w:val="20"/>
            <w:rtl w:val="0"/>
          </w:rPr>
          <w:t xml:space="preserve">http://thesis.ekt.gr/thesisBookReader/id/15961#page/298/mode/2up</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24">
      <w:pPr>
        <w:ind w:left="72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Χαρτοφύλακα, Α. Μ. (2012). Η διασφάλιση της ποιότητας στην παραγωγή εκπαιδευτικού υλικού Ανοικτής και εξ Αποστάσεως Εκπαίδευσης: διαμόρφωση κριτηρίων ποιότητας περιεχομένου (αδημοσίευτη διατριβή). Ελληνικό Ανοικτό Πανεπιστήμιο. Ανακτήθηκε στις 18 Αυγούστου, 2017 από </w:t>
      </w:r>
      <w:hyperlink r:id="rId10">
        <w:r w:rsidDel="00000000" w:rsidR="00000000" w:rsidRPr="00000000">
          <w:rPr>
            <w:rFonts w:ascii="Arial" w:cs="Arial" w:eastAsia="Arial" w:hAnsi="Arial"/>
            <w:sz w:val="20"/>
            <w:szCs w:val="20"/>
            <w:rtl w:val="0"/>
          </w:rPr>
          <w:t xml:space="preserve">http://thesis.ekt.gr/thesisBookReader/id/28372#page/1/mode/2up</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25">
      <w:pPr>
        <w:ind w:left="720" w:hanging="720"/>
        <w:rPr>
          <w:rFonts w:ascii="Arial" w:cs="Arial" w:eastAsia="Arial" w:hAnsi="Arial"/>
          <w:sz w:val="20"/>
          <w:szCs w:val="20"/>
        </w:rPr>
      </w:pPr>
      <w:r w:rsidDel="00000000" w:rsidR="00000000" w:rsidRPr="00000000">
        <w:rPr>
          <w:rtl w:val="0"/>
        </w:rPr>
      </w:r>
    </w:p>
    <w:sectPr>
      <w:pgSz w:h="16838" w:w="11906"/>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i w:val="0"/>
        <w:sz w:val="20"/>
        <w:szCs w:val="2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l-GR"/>
      </w:rPr>
    </w:rPrDefault>
    <w:pPrDefault>
      <w:pPr>
        <w:spacing w:after="160" w:line="276" w:lineRule="auto"/>
        <w:ind w:firstLine="68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pPr>
    <w:rPr>
      <w:rFonts w:ascii="Times New Roman" w:cs="Times New Roman" w:eastAsia="Times New Roman" w:hAnsi="Times New Roman"/>
      <w:b w:val="1"/>
      <w:sz w:val="24"/>
      <w:szCs w:val="24"/>
    </w:rPr>
  </w:style>
  <w:style w:type="paragraph" w:styleId="Heading2">
    <w:name w:val="heading 2"/>
    <w:basedOn w:val="Normal"/>
    <w:next w:val="Normal"/>
    <w:pPr>
      <w:keepNext w:val="1"/>
      <w:spacing w:after="0" w:line="240" w:lineRule="auto"/>
    </w:pPr>
    <w:rPr>
      <w:rFonts w:ascii="Times New Roman" w:cs="Times New Roman" w:eastAsia="Times New Roman" w:hAnsi="Times New Roman"/>
      <w:b w:val="1"/>
      <w:sz w:val="24"/>
      <w:szCs w:val="24"/>
      <w:u w:val="singl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680"/>
      <w:jc w:val="both"/>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680"/>
      <w:jc w:val="both"/>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680"/>
      <w:jc w:val="both"/>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680"/>
      <w:jc w:val="both"/>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680"/>
      <w:jc w:val="both"/>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qFormat w:val="1"/>
    <w:rsid w:val="00F65F45"/>
  </w:style>
  <w:style w:type="paragraph" w:styleId="Heading1">
    <w:name w:val="heading 1"/>
    <w:basedOn w:val="Normal"/>
    <w:next w:val="Normal"/>
    <w:link w:val="Heading1Char"/>
    <w:qFormat w:val="1"/>
    <w:rsid w:val="00077545"/>
    <w:pPr>
      <w:keepNext w:val="1"/>
      <w:spacing w:after="0" w:line="240" w:lineRule="auto"/>
      <w:outlineLvl w:val="0"/>
    </w:pPr>
    <w:rPr>
      <w:rFonts w:ascii="Times New Roman" w:cs="Times New Roman" w:eastAsia="Times New Roman" w:hAnsi="Times New Roman"/>
      <w:b w:val="1"/>
      <w:iCs w:val="1"/>
      <w:sz w:val="24"/>
      <w:szCs w:val="24"/>
      <w:lang w:eastAsia="el-GR"/>
    </w:rPr>
  </w:style>
  <w:style w:type="paragraph" w:styleId="Heading2">
    <w:name w:val="heading 2"/>
    <w:basedOn w:val="Normal"/>
    <w:next w:val="Normal"/>
    <w:link w:val="Heading2Char"/>
    <w:qFormat w:val="1"/>
    <w:rsid w:val="00077545"/>
    <w:pPr>
      <w:keepNext w:val="1"/>
      <w:spacing w:after="0" w:line="240" w:lineRule="auto"/>
      <w:outlineLvl w:val="1"/>
    </w:pPr>
    <w:rPr>
      <w:rFonts w:ascii="Times New Roman" w:cs="Times New Roman" w:eastAsia="Times New Roman" w:hAnsi="Times New Roman"/>
      <w:b w:val="1"/>
      <w:bCs w:val="1"/>
      <w:sz w:val="24"/>
      <w:szCs w:val="24"/>
      <w:u w:val="single"/>
    </w:rPr>
  </w:style>
  <w:style w:type="paragraph" w:styleId="Heading3">
    <w:name w:val="heading 3"/>
    <w:basedOn w:val="normal0"/>
    <w:next w:val="normal0"/>
    <w:rsid w:val="00EE4FCE"/>
    <w:pPr>
      <w:keepNext w:val="1"/>
      <w:keepLines w:val="1"/>
      <w:spacing w:after="80" w:before="280"/>
      <w:outlineLvl w:val="2"/>
    </w:pPr>
    <w:rPr>
      <w:b w:val="1"/>
      <w:sz w:val="28"/>
      <w:szCs w:val="28"/>
    </w:rPr>
  </w:style>
  <w:style w:type="paragraph" w:styleId="Heading4">
    <w:name w:val="heading 4"/>
    <w:basedOn w:val="normal0"/>
    <w:next w:val="normal0"/>
    <w:rsid w:val="00EE4FCE"/>
    <w:pPr>
      <w:keepNext w:val="1"/>
      <w:keepLines w:val="1"/>
      <w:spacing w:after="40" w:before="240"/>
      <w:outlineLvl w:val="3"/>
    </w:pPr>
    <w:rPr>
      <w:b w:val="1"/>
      <w:sz w:val="24"/>
      <w:szCs w:val="24"/>
    </w:rPr>
  </w:style>
  <w:style w:type="paragraph" w:styleId="Heading5">
    <w:name w:val="heading 5"/>
    <w:basedOn w:val="normal0"/>
    <w:next w:val="normal0"/>
    <w:rsid w:val="00EE4FCE"/>
    <w:pPr>
      <w:keepNext w:val="1"/>
      <w:keepLines w:val="1"/>
      <w:spacing w:after="40" w:before="220"/>
      <w:outlineLvl w:val="4"/>
    </w:pPr>
    <w:rPr>
      <w:b w:val="1"/>
    </w:rPr>
  </w:style>
  <w:style w:type="paragraph" w:styleId="Heading6">
    <w:name w:val="heading 6"/>
    <w:basedOn w:val="normal0"/>
    <w:next w:val="normal0"/>
    <w:rsid w:val="00EE4FCE"/>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0" w:customStyle="1">
    <w:name w:val="normal"/>
    <w:rsid w:val="00EE4FCE"/>
  </w:style>
  <w:style w:type="paragraph" w:styleId="Title">
    <w:name w:val="Title"/>
    <w:basedOn w:val="normal0"/>
    <w:next w:val="normal0"/>
    <w:rsid w:val="00EE4FCE"/>
    <w:pPr>
      <w:keepNext w:val="1"/>
      <w:keepLines w:val="1"/>
      <w:spacing w:after="120" w:before="480"/>
    </w:pPr>
    <w:rPr>
      <w:b w:val="1"/>
      <w:sz w:val="72"/>
      <w:szCs w:val="72"/>
    </w:rPr>
  </w:style>
  <w:style w:type="character" w:styleId="Heading1Char" w:customStyle="1">
    <w:name w:val="Heading 1 Char"/>
    <w:basedOn w:val="DefaultParagraphFont"/>
    <w:link w:val="Heading1"/>
    <w:rsid w:val="00077545"/>
    <w:rPr>
      <w:rFonts w:ascii="Times New Roman" w:cs="Times New Roman" w:eastAsia="Times New Roman" w:hAnsi="Times New Roman"/>
      <w:b w:val="1"/>
      <w:iCs w:val="1"/>
      <w:sz w:val="24"/>
      <w:szCs w:val="24"/>
      <w:lang w:eastAsia="el-GR"/>
    </w:rPr>
  </w:style>
  <w:style w:type="character" w:styleId="Heading2Char" w:customStyle="1">
    <w:name w:val="Heading 2 Char"/>
    <w:basedOn w:val="DefaultParagraphFont"/>
    <w:link w:val="Heading2"/>
    <w:rsid w:val="00077545"/>
    <w:rPr>
      <w:rFonts w:ascii="Times New Roman" w:cs="Times New Roman" w:eastAsia="Times New Roman" w:hAnsi="Times New Roman"/>
      <w:b w:val="1"/>
      <w:bCs w:val="1"/>
      <w:sz w:val="24"/>
      <w:szCs w:val="24"/>
      <w:u w:val="single"/>
    </w:rPr>
  </w:style>
  <w:style w:type="character" w:styleId="Hyperlink">
    <w:name w:val="Hyperlink"/>
    <w:basedOn w:val="DefaultParagraphFont"/>
    <w:uiPriority w:val="99"/>
    <w:unhideWhenUsed w:val="1"/>
    <w:rsid w:val="00194831"/>
    <w:rPr>
      <w:color w:val="0563c1" w:themeColor="hyperlink"/>
      <w:u w:val="single"/>
    </w:rPr>
  </w:style>
  <w:style w:type="paragraph" w:styleId="Subtitle">
    <w:name w:val="Subtitle"/>
    <w:basedOn w:val="Normal"/>
    <w:next w:val="Normal"/>
    <w:rsid w:val="00EE4FCE"/>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350FDD"/>
    <w:pPr>
      <w:ind w:left="720"/>
      <w:contextualSpacing w:val="1"/>
    </w:pPr>
  </w:style>
  <w:style w:type="table" w:styleId="TableGrid">
    <w:name w:val="Table Grid"/>
    <w:basedOn w:val="TableNormal"/>
    <w:uiPriority w:val="59"/>
    <w:rsid w:val="00FD2BA0"/>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MediumGrid1-Accent3">
    <w:name w:val="Medium Grid 1 Accent 3"/>
    <w:basedOn w:val="TableNormal"/>
    <w:uiPriority w:val="67"/>
    <w:rsid w:val="000D1FA7"/>
    <w:pPr>
      <w:spacing w:after="0" w:line="240" w:lineRule="auto"/>
    </w:pPr>
    <w:tblPr>
      <w:tblStyleRowBandSize w:val="1"/>
      <w:tblStyleColBandSize w:val="1"/>
      <w:tblInd w:w="0.0" w:type="dxa"/>
      <w:tblBorders>
        <w:top w:color="bbbbbb" w:space="0" w:sz="8" w:themeColor="accent3" w:themeTint="0000BF" w:val="single"/>
        <w:left w:color="bbbbbb" w:space="0" w:sz="8" w:themeColor="accent3" w:themeTint="0000BF" w:val="single"/>
        <w:bottom w:color="bbbbbb" w:space="0" w:sz="8" w:themeColor="accent3" w:themeTint="0000BF" w:val="single"/>
        <w:right w:color="bbbbbb" w:space="0" w:sz="8" w:themeColor="accent3" w:themeTint="0000BF" w:val="single"/>
        <w:insideH w:color="bbbbbb" w:space="0" w:sz="8" w:themeColor="accent3" w:themeTint="0000BF" w:val="single"/>
        <w:insideV w:color="bbbbbb" w:space="0" w:sz="8" w:themeColor="accent3" w:themeTint="0000BF" w:val="single"/>
      </w:tblBorders>
      <w:tblCellMar>
        <w:top w:w="0.0" w:type="dxa"/>
        <w:left w:w="108.0" w:type="dxa"/>
        <w:bottom w:w="0.0" w:type="dxa"/>
        <w:right w:w="108.0" w:type="dxa"/>
      </w:tblCellMar>
    </w:tblPr>
    <w:tcPr>
      <w:shd w:color="auto" w:fill="e8e8e8" w:themeFill="accent3" w:themeFillTint="00003F" w:val="clear"/>
    </w:tcPr>
    <w:tblStylePr w:type="firstRow">
      <w:rPr>
        <w:b w:val="1"/>
        <w:bCs w:val="1"/>
      </w:rPr>
    </w:tblStylePr>
    <w:tblStylePr w:type="lastRow">
      <w:rPr>
        <w:b w:val="1"/>
        <w:bCs w:val="1"/>
      </w:rPr>
      <w:tblPr/>
      <w:tcPr>
        <w:tcBorders>
          <w:top w:color="bbbbbb"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d2d2d2" w:themeFill="accent3" w:themeFillTint="00007F" w:val="clear"/>
      </w:tcPr>
    </w:tblStylePr>
    <w:tblStylePr w:type="band1Horz">
      <w:tblPr/>
      <w:tcPr>
        <w:shd w:color="auto" w:fill="d2d2d2" w:themeFill="accent3" w:themeFillTint="00007F" w:val="clear"/>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e8e8e8" w:val="clear"/>
    </w:tcPr>
    <w:tblStylePr w:type="band1Horz">
      <w:tcPr>
        <w:shd w:fill="d2d2d2" w:val="clear"/>
      </w:tcPr>
    </w:tblStylePr>
    <w:tblStylePr w:type="band1Vert">
      <w:tcPr>
        <w:shd w:fill="d2d2d2" w:val="clear"/>
      </w:tcPr>
    </w:tblStylePr>
    <w:tblStylePr w:type="firstCol">
      <w:rPr>
        <w:b w:val="1"/>
      </w:rPr>
    </w:tblStylePr>
    <w:tblStylePr w:type="firstRow">
      <w:rPr>
        <w:b w:val="1"/>
      </w:rPr>
    </w:tblStylePr>
    <w:tblStylePr w:type="lastCol">
      <w:rPr>
        <w:b w:val="1"/>
      </w:rPr>
    </w:tblStylePr>
    <w:tblStylePr w:type="lastRow">
      <w:rPr>
        <w:b w:val="1"/>
      </w:rPr>
      <w:tcPr>
        <w:tcBorders>
          <w:top w:color="bbbbbb" w:space="0" w:sz="18"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thesis.ekt.gr/thesisBookReader/id/28372#page/1/mode/2up" TargetMode="External"/><Relationship Id="rId9" Type="http://schemas.openxmlformats.org/officeDocument/2006/relationships/hyperlink" Target="http://thesis.ekt.gr/thesisBookReader/id/15961#page/298/mode/2up"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journals-sagepub-com.proxy.eap.gr/doi/pdf/10.3102/003465430298487" TargetMode="External"/><Relationship Id="rId8" Type="http://schemas.openxmlformats.org/officeDocument/2006/relationships/hyperlink" Target="https://ejournals.epublishing.ekt.gr/index.php/openjournal/article/view/15541/14047"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l3VgDNOUJyonj3r3WsLq8WiRSg==">AMUW2mWjTbg81EhyBFyyCZAUKysPSQfNNMv0E4JFG/zyui36QpjVgzmSe/vNPUHtT9bAZj9BLMmPa9OLSTp8t0RsdjTyOFJ2BxTdaWueyMyPRTMCFmizbKQ=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2020-04-22T12:58:00Z</dcterms:created>
  <dc:creator>User</dc:creator>
</cp:coreProperties>
</file>